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exact" w:line="300" w:before="240" w:after="240"/>
        <w:ind w:right="0" w:firstLine="0"/>
        <w:rPr>
          <w:color w:val="auto"/>
          <w:position w:val="0"/>
          <w:sz w:val="30"/>
          <w:szCs w:val="30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黑体" w:eastAsia="黑体" w:hAnsi="黑体" w:hint="default"/>
        </w:rPr>
        <w:t>《研究生综合教务系统》使用须知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《北京交通大学研究生综合教务系统》（以下简称“研究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生综合教务系统”）是为我校研究生培养和研究生教学的信息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化管理而开发的管理信息系统。通过该系统可以实现研究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生学籍、研究生成绩、研究生培养方案和培养计划、研究生选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课、研究生毕业资格审查等的信息化管理。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我校在读研究生可以使用《研究生综合教务系统》进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行学籍信息查询、培养方案查看、培养计划编制、课程信息查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询、开课信息查看、选课、成绩查询以及毕业资格审查结果查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询，等。同学们还可以在系统“公告通知”栏目查看研究生院和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学院研究生科发布的与研究生课程教学安排与考试安排相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关的通知，以及其它与研究生教学相关的通知通告。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1、拥有我校研究生学籍的同学可以凭学号及登录密码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登录《研究生综合教务系统》，具体方式为：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在浏览器中输入北京交通大学研究生院主页网址：</w:t>
      </w:r>
      <w:hyperlink r:id="rId5">
        <w:r>
          <w:rPr>
            <w:rStyle w:val="PO154"/>
            <w:color w:val="0563C1" w:themeColor="hyperlink"/>
            <w:position w:val="0"/>
            <w:sz w:val="24"/>
            <w:szCs w:val="24"/>
            <w:u w:val="single"/>
            <w:rFonts w:ascii="Calibri" w:eastAsia="仿宋_GB2312" w:hAnsi="仿宋_GB2312" w:hint="default"/>
          </w:rPr>
          <w:t>http://gs.bjtu.edu.cn</w:t>
        </w:r>
      </w:hyperlink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打开研究生院主页，点击页面右侧的“研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究生综合教务”链接打开《研究生综合教务系统》登录页面，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输入账号、密码即可登录系统。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2"/>
        <w:rPr>
          <w:b w:val="1"/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仿宋_GB2312" w:hAnsi="仿宋_GB2312" w:hint="default"/>
        </w:rPr>
        <w:t>研究生登录《研究生综合教务系统》的登录账号为学</w:t>
      </w:r>
      <w:r>
        <w:rPr>
          <w:b w:val="1"/>
          <w:color w:val="auto"/>
          <w:position w:val="0"/>
          <w:sz w:val="24"/>
          <w:szCs w:val="24"/>
          <w:rFonts w:ascii="Calibri" w:eastAsia="仿宋_GB2312" w:hAnsi="仿宋_GB2312" w:hint="default"/>
        </w:rPr>
        <w:t>号，初始登录密码为身份证后6位。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2、登录《研究生综合教务系统》后，首先看到的是“公告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通知”栏目的“公告通知列表”页面。“选课通知”、“选课说明”、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“外国语课程教学安排”等均可在此查询查看。在列表中还有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研究生院、学院发布的与研究生教学有关的通知。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在页面上方的导航栏中可以看到“公告通知”、“学生学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籍”、“方案与计划”、“选课与成绩”、“论文与学位”和“系统帮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助”几个功能模块。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“公告通知”：研究生院、学院研究生科发布研究生教学管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理相关通知和公告的地方，学生可以在此查看研究生开课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安排的通知、选课安排的通知、考试安排的通知等，也可以在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此查看“研究生个人培养计划”编制说明、指南等。发生上课时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间变更、上课地点变更的教学安排调整时，会有通知在此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处发布。所以，请同学们养成经常查看本栏中通知的习惯。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“学生学籍”：学生在此可以看到本人的学籍信息，并可以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修改个人的宿舍信息、电子邮箱信息。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“方案与计划”：在该模块学生可以查询本人使用的学科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专业培养方案的具体内容，编辑、修改、查看个人培养计划，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编辑、修改个人培养计划中的课程列表，打印个人培养计划。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还可以查看学校开设的所有研究生课程的相关信息。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“选课与成绩”：学生可以在此查询当前学期“开课信息”；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在选课与退补选阶段可以进行选课与退课操作；可以查看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本人本学期的课程表；在退补选阶段可以查看停开课程信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息，以便及时调整选课计划。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在该模块学生还可以查看本人所修课程的成绩。点击“查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看本学期成绩”，可以查看本人本学期所选课程的成绩；点击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“查看历史成绩”，可以查看上个学期及以前所修课程的成绩。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“论文与学位”：本模块分为“资格审查”和“论文送审”两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部分。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“论文送审”链接到《研究生学位管理系统》；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“资格审查”提供学生各培养环节完成情况的信息。点击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“毕业资格审查”，可以知道本人目前已经取得的课程和环节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学分的情况。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18"/>
          <w:szCs w:val="18"/>
          <w:rFonts w:ascii="Calibri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更详细的使用说明，请登录《研究生综合教务系统》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后，点击“系统帮助”查看“</w:t>
      </w:r>
      <w:r>
        <w:rPr>
          <w:b w:val="1"/>
          <w:color w:val="auto"/>
          <w:position w:val="0"/>
          <w:sz w:val="24"/>
          <w:szCs w:val="24"/>
          <w:rFonts w:ascii="Calibri" w:eastAsia="仿宋_GB2312" w:hAnsi="仿宋_GB2312" w:hint="default"/>
        </w:rPr>
        <w:t>研究生综合教务系统使用说明</w:t>
      </w:r>
      <w:r>
        <w:rPr>
          <w:color w:val="auto"/>
          <w:position w:val="0"/>
          <w:sz w:val="24"/>
          <w:szCs w:val="24"/>
          <w:rFonts w:ascii="Calibri" w:eastAsia="仿宋_GB2312" w:hAnsi="仿宋_GB2312" w:hint="default"/>
        </w:rPr>
        <w:t>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headerReference w:type="even" r:id="rId6"/>
      <w:pgSz w:w="7938" w:h="11510"/>
      <w:pgMar w:top="1134" w:left="851" w:bottom="1134" w:right="851" w:header="794" w:footer="794" w:gutter="0"/>
      <w:pgNumType w:fmt="numberInDash" w:start="1"/>
      <w:docGrid w:type="default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行楷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b w:val="1"/>
        <w:color w:val="auto"/>
        <w:position w:val="0"/>
        <w:sz w:val="18"/>
        <w:szCs w:val="18"/>
        <w:rFonts w:ascii="华文行楷" w:eastAsia="华文行楷" w:hAnsi="华文行楷" w:hint="default"/>
      </w:rPr>
      <w:snapToGrid w:val="off"/>
      <w:autoSpaceDE w:val="1"/>
      <w:autoSpaceDN w:val="1"/>
    </w:pPr>
    <w:r>
      <w:rPr>
        <w:b w:val="1"/>
        <w:color w:val="auto"/>
        <w:position w:val="0"/>
        <w:sz w:val="18"/>
        <w:szCs w:val="18"/>
        <w:rFonts w:ascii="华文行楷" w:eastAsia="华文行楷" w:hAnsi="华文行楷" w:hint="default"/>
      </w:rPr>
      <w:t xml:space="preserve">第十七章 各学院部门联系方式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rFonts w:ascii="Calibri" w:eastAsia="Calibri" w:hAnsi="Calibri"/>
      <w:shd w:val="clear"/>
      <w:sz w:val="18"/>
      <w:szCs w:val="18"/>
      <w:w w:val="100"/>
    </w:rPr>
  </w:style>
  <w:style w:styleId="PO154" w:type="character">
    <w:name w:val="Hyperlink"/>
    <w:basedOn w:val="PO2"/>
    <w:uiPriority w:val="154"/>
    <w:rPr>
      <w:color w:val="0563C1" w:themeColor="hyperlink"/>
      <w:shd w:val="clear"/>
      <w:sz w:val="20"/>
      <w:szCs w:val="20"/>
      <w:u w:val="single"/>
      <w:w w:val="100"/>
    </w:rPr>
  </w:style>
  <w:style w:styleId="PO155" w:type="paragraph">
    <w:name w:val="footer"/>
    <w:basedOn w:val="PO1"/>
    <w:link w:val="PO156"/>
    <w:uiPriority w:val="15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字符"/>
    <w:basedOn w:val="PO2"/>
    <w:link w:val="PO155"/>
    <w:uiPriority w:val="156"/>
    <w:rPr>
      <w:rFonts w:ascii="Calibri" w:eastAsia="Calibri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gs.bjtu.edu.cn" TargetMode="External"></Relationship><Relationship Id="rId6" Type="http://schemas.openxmlformats.org/officeDocument/2006/relationships/header" Target="header2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1333</Characters>
  <CharactersWithSpaces>0</CharactersWithSpaces>
  <Company>yjsy</Company>
  <DocSecurity>0</DocSecurity>
  <HyperlinksChanged>false</HyperlinksChanged>
  <Lines>9</Lines>
  <LinksUpToDate>false</LinksUpToDate>
  <Pages>3</Pages>
  <Paragraphs>2</Paragraphs>
  <Words>199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zpj</dc:creator>
  <cp:lastModifiedBy/>
  <dcterms:modified xsi:type="dcterms:W3CDTF">2018-08-03T14:56:00Z</dcterms:modified>
</cp:coreProperties>
</file>