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color w:val="auto"/>
          <w:position w:val="0"/>
          <w:sz w:val="32"/>
          <w:szCs w:val="32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宋体" w:eastAsia="宋体" w:hAnsi="宋体" w:hint="default"/>
        </w:rPr>
        <w:t>2018-2019学年第一学期研究生课程选课说明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42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2018-2019学年第一学期（2018年秋季学期）研究生选课分为“正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选”和“退补选”两个阶段，“正选”安排在暑假期间，“退补选”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安排在开学第一周。具体选课安排如下：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422"/>
        <w:rPr>
          <w:b w:val="1"/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rFonts w:ascii="宋体" w:eastAsia="宋体" w:hAnsi="宋体" w:hint="default"/>
        </w:rPr>
        <w:t>一、研究生选课时间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422"/>
        <w:rPr>
          <w:b w:val="1"/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rFonts w:ascii="宋体" w:eastAsia="宋体" w:hAnsi="宋体" w:hint="default"/>
        </w:rPr>
        <w:t>正选时间：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98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2018年8月20日8:00——2018年8月31日23:00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422"/>
        <w:rPr>
          <w:b w:val="1"/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rFonts w:ascii="宋体" w:eastAsia="宋体" w:hAnsi="宋体" w:hint="default"/>
        </w:rPr>
        <w:t>退补选时间：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98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2018年9月3日10:00——2018年9月9日23:00。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28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rFonts w:ascii="宋体" w:eastAsia="宋体" w:hAnsi="宋体" w:hint="default"/>
        </w:rPr>
        <w:t>二、选课前的准备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57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1、登录《北京交通大学研究生综合教务系统》，熟悉本专业的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“研究生培养方案”，尤其是，熟悉方案中的“培养方案课程”。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57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操作步骤如下：</w:t>
      </w:r>
    </w:p>
    <w:p>
      <w:pPr>
        <w:pStyle w:val="PO26"/>
        <w:bidi w:val="0"/>
        <w:numPr>
          <w:ilvl w:val="0"/>
          <w:numId w:val="5"/>
        </w:numPr>
        <w:jc w:val="both"/>
        <w:spacing w:lineRule="auto" w:line="240" w:before="0" w:after="0"/>
        <w:ind w:left="913" w:right="0" w:hanging="34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打开浏览器，输入网址：</w:t>
      </w:r>
      <w:hyperlink r:id="rId5">
        <w:r>
          <w:rPr>
            <w:rStyle w:val="PO152"/>
            <w:color w:val="0000FF" w:themeColor="hyperlink"/>
            <w:position w:val="0"/>
            <w:sz w:val="28"/>
            <w:szCs w:val="28"/>
            <w:u w:val="single"/>
            <w:rFonts w:ascii="宋体" w:eastAsia="宋体" w:hAnsi="宋体" w:hint="default"/>
          </w:rPr>
          <w:t>http://gs.bjtu.edu.cn</w:t>
        </w:r>
      </w:hyperlink>
      <w:r>
        <w:rPr>
          <w:rStyle w:val="PO152"/>
          <w:color w:val="0000FF" w:themeColor="hyperlink"/>
          <w:position w:val="0"/>
          <w:sz w:val="28"/>
          <w:szCs w:val="28"/>
          <w:u w:val="none"/>
          <w:rFonts w:ascii="宋体" w:eastAsia="宋体" w:hAnsi="宋体" w:hint="default"/>
        </w:rPr>
        <w:t>，</w:t>
      </w:r>
      <w:r>
        <w:rPr>
          <w:rStyle w:val="PO152"/>
          <w:color w:val="auto"/>
          <w:position w:val="0"/>
          <w:sz w:val="28"/>
          <w:szCs w:val="28"/>
          <w:u w:val="none"/>
          <w:rFonts w:ascii="宋体" w:eastAsia="宋体" w:hAnsi="宋体" w:hint="default"/>
        </w:rPr>
        <w:t>进入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北京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交通大学研究生院主页；</w:t>
      </w:r>
    </w:p>
    <w:p>
      <w:pPr>
        <w:pStyle w:val="PO26"/>
        <w:bidi w:val="0"/>
        <w:numPr>
          <w:ilvl w:val="0"/>
          <w:numId w:val="5"/>
        </w:numPr>
        <w:jc w:val="both"/>
        <w:spacing w:lineRule="auto" w:line="240" w:before="0" w:after="0"/>
        <w:ind w:left="913" w:right="0" w:hanging="34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点击页面右侧的“研究生综合教务”，进入“北京交通大学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研究生综合教务系统”登录页面，输入自己的账号和密码登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录系统。研究生的登录账号为学号，初始登录密码为身份证后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六位。</w:t>
      </w:r>
    </w:p>
    <w:p>
      <w:pPr>
        <w:pStyle w:val="PO26"/>
        <w:bidi w:val="0"/>
        <w:numPr>
          <w:ilvl w:val="0"/>
          <w:numId w:val="5"/>
        </w:numPr>
        <w:jc w:val="both"/>
        <w:spacing w:lineRule="auto" w:line="240" w:before="0" w:after="0"/>
        <w:ind w:left="913" w:right="0" w:hanging="34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点击“方案与计划”，再点击“查看培养方案”即可看到你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入学后使用的“专业培养方案”。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57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注意：如果你点击“查看培养方案”，没有显示“培养方案”，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而是显示“找不到培养方案”，再或者，你对看到的培养方案有疑问，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请联系所在学院研究生科老师，也可以发邮件到研究生院办公邮箱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（后附）咨询。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57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2、与指导老师联系，获得导师的选课指导。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57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政治理论课和外语课按照学校安排选课即可，数学基础课、专业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基础课和专业课需在指导老师的指导下选课，这关系到今后的专业学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习与科学研究。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57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3、编制培养计划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57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研究生要进行选课操作，首先必须完成个人培养计划的编制。在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得到导师的选课指导后，编制“个人培养计划”。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57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操作步骤如下：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57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点击“方案与计划”，进入培养方案查看与个人培养计划维护页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面。此时系统显示的是个人培养计划的当前状态，与点击“查看培养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计划”的效果相同。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57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点击“查看培养计划”可以查看个人培养计划的当前状态，并可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对个人培养计划进行修改。第一次进入“方案与计划”页面，请点击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“前去填写”按钮，在系统中建立你的“培养计划”记录，如果你尚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未与导师商定培养计划各环节内容，可以直接点击“保存”完成记录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建立。点击“保存”后，系统将自动把培养方案中的“方案课程”添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加到你的“培养计划课程”列表中。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57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点击“编辑计划课程”进入“计划课程”维护页面，在这里你可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以添加课程、修改已有课程的课程属性、设定正确的课程属性，以及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删除不需要选修的课程。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570"/>
        <w:rPr>
          <w:b w:val="1"/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rFonts w:ascii="宋体" w:eastAsia="宋体" w:hAnsi="宋体" w:hint="default"/>
        </w:rPr>
        <w:t>同学们要做的是，将计划本学期选修的课程添加到个人培养计划</w:t>
      </w:r>
      <w:r>
        <w:rPr>
          <w:b w:val="1"/>
          <w:color w:val="auto"/>
          <w:position w:val="0"/>
          <w:sz w:val="28"/>
          <w:szCs w:val="28"/>
          <w:rFonts w:ascii="宋体" w:eastAsia="宋体" w:hAnsi="宋体" w:hint="default"/>
        </w:rPr>
        <w:t>中，并设置正确的课程属性。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57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关于个人培养计划维护的进一步信息登录《研究生综合教务系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统》，到“通知公告”栏中查看“</w:t>
      </w:r>
      <w:r>
        <w:rPr>
          <w:b w:val="1"/>
          <w:color w:val="auto"/>
          <w:position w:val="0"/>
          <w:sz w:val="28"/>
          <w:szCs w:val="28"/>
          <w:rFonts w:ascii="宋体" w:eastAsia="宋体" w:hAnsi="宋体" w:hint="default"/>
        </w:rPr>
        <w:t>研究生个人培养计划编制指南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”。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570"/>
        <w:rPr>
          <w:b w:val="1"/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rFonts w:ascii="宋体" w:eastAsia="宋体" w:hAnsi="宋体" w:hint="default"/>
        </w:rPr>
        <w:t>特别提示：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57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（1）课程属性是《综合教务系统》进行毕业资格审查的依据之一，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正确设置所修课程的课程属性才能保证学生顺利通过系统的毕业资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格审查。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57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按照规定，已锁定的课程属性无正当理由，不能修改。而且，除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毕业资格审查的需要外，研究生院不受理课程属性修改的申请。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57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（2）同学们随时可以往培养计划中添加课程，但对本学期正在选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修的课程的属性进行修改和调整，只能在学期的第1—6周进行。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57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（3）如果遇到前述“没有对应培养方案”的情况，并且联系学院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一时也解决不了问题，不必着急，可以按下面操作步骤先选课，等开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学后将问题反映到学院研究生科，待方案问题解决后，重新做一次培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养计划就可以了。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rFonts w:ascii="宋体" w:eastAsia="宋体" w:hAnsi="宋体" w:hint="default"/>
        </w:rPr>
        <w:t>三、选课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570"/>
        <w:rPr>
          <w:spacing w:val="0"/>
          <w:vertAlign w:val="baseline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按上述要求完成选课前的准备工作后，尤其是完成“培养计划课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程”的编制后，可以开始选课。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570"/>
        <w:rPr>
          <w:spacing w:val="0"/>
          <w:vertAlign w:val="baseline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autoSpaceDE w:val="1"/>
        <w:autoSpaceDN w:val="1"/>
      </w:pPr>
      <w:r>
        <w:rPr>
          <w:spacing w:val="0"/>
          <w:vertAlign w:val="baseline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t>选课须知：</w:t>
      </w:r>
    </w:p>
    <w:p>
      <w:pPr>
        <w:numPr>
          <w:ilvl w:val="0"/>
          <w:numId w:val="0"/>
        </w:numPr>
        <w:jc w:val="both"/>
        <w:shd w:val="clear" w:fill="FFFFFF"/>
        <w:spacing w:lineRule="auto" w:line="240" w:before="0" w:after="150"/>
        <w:ind w:right="0" w:firstLine="0"/>
        <w:rPr>
          <w:spacing w:val="0"/>
          <w:vertAlign w:val="baseline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wordWrap w:val="off"/>
      </w:pPr>
      <w:r>
        <w:rPr>
          <w:spacing w:val="0"/>
          <w:vertAlign w:val="baseline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t>1、研究生选课通过《研究生综合教务系统》进行，同学们首次登录使</w:t>
      </w:r>
      <w:r>
        <w:rPr>
          <w:spacing w:val="0"/>
          <w:vertAlign w:val="baseline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t>用《研究生综合教务系统》前，请先阅读“《研究生综合教务系统》</w:t>
      </w:r>
      <w:r>
        <w:rPr>
          <w:spacing w:val="0"/>
          <w:vertAlign w:val="baseline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t>使用须知”（附件一）。</w:t>
      </w:r>
    </w:p>
    <w:p>
      <w:pPr>
        <w:numPr>
          <w:ilvl w:val="0"/>
          <w:numId w:val="0"/>
        </w:numPr>
        <w:jc w:val="both"/>
        <w:shd w:val="clear" w:fill="FFFFFF"/>
        <w:spacing w:lineRule="auto" w:line="240" w:before="0" w:after="150"/>
        <w:ind w:right="0" w:firstLine="0"/>
        <w:rPr>
          <w:spacing w:val="0"/>
          <w:vertAlign w:val="baseline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wordWrap w:val="off"/>
      </w:pPr>
      <w:r>
        <w:rPr>
          <w:spacing w:val="0"/>
          <w:vertAlign w:val="baseline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t>2、《研究生综合教务系统》的登录账号为学号，初始登录密码为身份</w:t>
      </w:r>
      <w:r>
        <w:rPr>
          <w:spacing w:val="0"/>
          <w:vertAlign w:val="baseline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t>证后6位，登录系统后，同学们可以自行修改密码。</w:t>
      </w:r>
    </w:p>
    <w:p>
      <w:pPr>
        <w:numPr>
          <w:ilvl w:val="0"/>
          <w:numId w:val="0"/>
        </w:numPr>
        <w:jc w:val="both"/>
        <w:shd w:val="clear" w:fill="FFFFFF"/>
        <w:spacing w:lineRule="auto" w:line="240" w:before="0" w:after="150"/>
        <w:ind w:right="0" w:firstLine="0"/>
        <w:rPr>
          <w:spacing w:val="0"/>
          <w:vertAlign w:val="baseline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wordWrap w:val="off"/>
      </w:pPr>
      <w:r>
        <w:rPr>
          <w:spacing w:val="0"/>
          <w:vertAlign w:val="baseline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t>3、同学们在进行选课操作前，须认真阅读“2018-2019学年第一学期</w:t>
      </w:r>
      <w:r>
        <w:rPr>
          <w:spacing w:val="0"/>
          <w:vertAlign w:val="baseline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t>研究生课程选课说明”（附件二）。</w:t>
      </w:r>
    </w:p>
    <w:p>
      <w:pPr>
        <w:numPr>
          <w:ilvl w:val="0"/>
          <w:numId w:val="0"/>
        </w:numPr>
        <w:jc w:val="both"/>
        <w:shd w:val="clear" w:fill="FFFFFF"/>
        <w:spacing w:lineRule="auto" w:line="240" w:before="0" w:after="150"/>
        <w:ind w:right="0" w:firstLine="0"/>
        <w:rPr>
          <w:spacing w:val="0"/>
          <w:vertAlign w:val="baseline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wordWrap w:val="off"/>
      </w:pPr>
      <w:r>
        <w:rPr>
          <w:spacing w:val="0"/>
          <w:vertAlign w:val="baseline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t>“选课说明”中详细说明了选课前需要做的准备、选课注意事项和如</w:t>
      </w:r>
      <w:r>
        <w:rPr>
          <w:spacing w:val="0"/>
          <w:vertAlign w:val="baseline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t>何进行选课操作等。</w:t>
      </w:r>
    </w:p>
    <w:p>
      <w:pPr>
        <w:numPr>
          <w:ilvl w:val="0"/>
          <w:numId w:val="0"/>
        </w:numPr>
        <w:jc w:val="both"/>
        <w:shd w:val="clear" w:fill="FFFFFF"/>
        <w:spacing w:lineRule="auto" w:line="240" w:before="0" w:after="150"/>
        <w:ind w:right="0" w:firstLine="0"/>
        <w:rPr>
          <w:spacing w:val="0"/>
          <w:vertAlign w:val="baseline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wordWrap w:val="off"/>
      </w:pPr>
      <w:r>
        <w:rPr>
          <w:spacing w:val="0"/>
          <w:vertAlign w:val="baseline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t>4、因学校资源所限，全校性公共课实行分班限选，同学们只能按系统</w:t>
      </w:r>
      <w:r>
        <w:rPr>
          <w:spacing w:val="0"/>
          <w:vertAlign w:val="baseline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t>分派选择此类课程；其中，全日制研究生的思想政治理论课、英语课、</w:t>
      </w:r>
      <w:r>
        <w:rPr>
          <w:spacing w:val="0"/>
          <w:vertAlign w:val="baseline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t>信息检索课和知识产权课实行分班限制选课；非全日制研究生的思想</w:t>
      </w:r>
      <w:r>
        <w:rPr>
          <w:spacing w:val="0"/>
          <w:vertAlign w:val="baseline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t>政治理论课、数学公共课、信息检索课和知识产权课实行分班限选。</w:t>
      </w:r>
    </w:p>
    <w:p>
      <w:pPr>
        <w:numPr>
          <w:ilvl w:val="0"/>
          <w:numId w:val="0"/>
        </w:numPr>
        <w:jc w:val="both"/>
        <w:shd w:val="clear" w:fill="FFFFFF"/>
        <w:spacing w:lineRule="auto" w:line="240" w:before="0" w:after="150"/>
        <w:ind w:right="0" w:firstLine="0"/>
        <w:rPr>
          <w:spacing w:val="0"/>
          <w:vertAlign w:val="baseline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wordWrap w:val="off"/>
      </w:pPr>
      <w:r>
        <w:rPr>
          <w:spacing w:val="0"/>
          <w:vertAlign w:val="baseline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t>注意，分班并不强制学生必须本学期选修安排的课程，同学们可以根</w:t>
      </w:r>
      <w:r>
        <w:rPr>
          <w:spacing w:val="0"/>
          <w:vertAlign w:val="baseline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t>据导师的建议和自己的情况选择本学期要修的课程。</w:t>
      </w:r>
    </w:p>
    <w:p>
      <w:pPr>
        <w:numPr>
          <w:ilvl w:val="0"/>
          <w:numId w:val="0"/>
        </w:numPr>
        <w:jc w:val="both"/>
        <w:shd w:val="clear" w:fill="FFFFFF"/>
        <w:spacing w:lineRule="auto" w:line="240" w:before="0" w:after="150"/>
        <w:ind w:right="0" w:firstLine="0"/>
        <w:rPr>
          <w:spacing w:val="0"/>
          <w:vertAlign w:val="baseline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wordWrap w:val="off"/>
      </w:pPr>
      <w:r>
        <w:rPr>
          <w:spacing w:val="0"/>
          <w:vertAlign w:val="baseline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t>5、博士研究生的英语课是要通过入学后的“博士英语水平测试”进</w:t>
      </w:r>
      <w:r>
        <w:rPr>
          <w:spacing w:val="0"/>
          <w:vertAlign w:val="baseline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t>行分班的，博士英语课程的选课时间安排在“退补选”阶段。有关英</w:t>
      </w:r>
      <w:r>
        <w:rPr>
          <w:spacing w:val="0"/>
          <w:vertAlign w:val="baseline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t>语水平测试安排的通知发布在研究生院主页上，请注意查看。</w:t>
      </w:r>
    </w:p>
    <w:p>
      <w:pPr>
        <w:numPr>
          <w:ilvl w:val="0"/>
          <w:numId w:val="0"/>
        </w:numPr>
        <w:jc w:val="both"/>
        <w:shd w:val="clear" w:fill="FFFFFF"/>
        <w:spacing w:lineRule="auto" w:line="240" w:before="0" w:after="150"/>
        <w:ind w:right="0" w:firstLine="0"/>
        <w:rPr>
          <w:spacing w:val="0"/>
          <w:vertAlign w:val="baseline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wordWrap w:val="off"/>
      </w:pPr>
      <w:r>
        <w:rPr>
          <w:spacing w:val="0"/>
          <w:vertAlign w:val="baseline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t>6、硕士生的英语免修必须按规定办理。</w:t>
      </w:r>
    </w:p>
    <w:p>
      <w:pPr>
        <w:numPr>
          <w:ilvl w:val="0"/>
          <w:numId w:val="0"/>
        </w:numPr>
        <w:jc w:val="both"/>
        <w:shd w:val="clear" w:fill="FFFFFF"/>
        <w:spacing w:lineRule="auto" w:line="240" w:before="0" w:after="150"/>
        <w:ind w:right="0" w:firstLine="560"/>
        <w:rPr>
          <w:spacing w:val="0"/>
          <w:vertAlign w:val="baseline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wordWrap w:val="off"/>
      </w:pPr>
      <w:r>
        <w:rPr>
          <w:spacing w:val="0"/>
          <w:vertAlign w:val="baseline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t>同学们一定要认真阅读附件三“2018级研究生外国语课程教学</w:t>
      </w:r>
      <w:r>
        <w:rPr>
          <w:spacing w:val="0"/>
          <w:vertAlign w:val="baseline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t>安排”和附件二“2018-2019学年第一学期研究生课程选课说明”中</w:t>
      </w:r>
      <w:r>
        <w:rPr>
          <w:spacing w:val="0"/>
          <w:vertAlign w:val="baseline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t>关于硕士英语免修的内容，及时按规定办理免修手续。</w:t>
      </w:r>
    </w:p>
    <w:p>
      <w:pPr>
        <w:numPr>
          <w:ilvl w:val="0"/>
          <w:numId w:val="0"/>
        </w:numPr>
        <w:jc w:val="both"/>
        <w:shd w:val="clear" w:fill="FFFFFF"/>
        <w:spacing w:lineRule="auto" w:line="240" w:before="0" w:after="150"/>
        <w:ind w:right="0" w:firstLine="0"/>
        <w:rPr>
          <w:spacing w:val="0"/>
          <w:vertAlign w:val="baseline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wordWrap w:val="off"/>
      </w:pPr>
      <w:r>
        <w:rPr>
          <w:spacing w:val="0"/>
          <w:vertAlign w:val="baseline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t>7、选课结果以9月9日选课结束时的系统数据为准。</w:t>
      </w:r>
    </w:p>
    <w:p>
      <w:pPr>
        <w:numPr>
          <w:ilvl w:val="0"/>
          <w:numId w:val="0"/>
        </w:numPr>
        <w:jc w:val="both"/>
        <w:shd w:val="clear" w:fill="FFFFFF"/>
        <w:spacing w:lineRule="auto" w:line="240" w:before="0" w:after="150"/>
        <w:ind w:right="0" w:firstLine="0"/>
        <w:rPr>
          <w:spacing w:val="0"/>
          <w:vertAlign w:val="baseline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wordWrap w:val="off"/>
      </w:pPr>
      <w:r>
        <w:rPr>
          <w:spacing w:val="0"/>
          <w:vertAlign w:val="baseline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t>请同学们务必在9月9日或10日登录教务系统查看本学期课表，确认一</w:t>
      </w:r>
      <w:r>
        <w:rPr>
          <w:spacing w:val="0"/>
          <w:vertAlign w:val="baseline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t>下自己的选课结果，避免漏选和忘记退选的事情发生。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rFonts w:ascii="宋体" w:eastAsia="宋体" w:hAnsi="宋体" w:hint="default"/>
        </w:rPr>
        <w:t>四、注意事项：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rFonts w:ascii="宋体" w:eastAsia="宋体" w:hAnsi="宋体" w:hint="default"/>
        </w:rPr>
        <w:t>1、请一定要查看“本学期课表”来确认选课结果，不可想当然的认为</w:t>
      </w:r>
      <w:r>
        <w:rPr>
          <w:b w:val="1"/>
          <w:color w:val="auto"/>
          <w:position w:val="0"/>
          <w:sz w:val="28"/>
          <w:szCs w:val="28"/>
          <w:rFonts w:ascii="宋体" w:eastAsia="宋体" w:hAnsi="宋体" w:hint="default"/>
        </w:rPr>
        <w:t>自己操作正确；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rFonts w:ascii="宋体" w:eastAsia="宋体" w:hAnsi="宋体" w:hint="default"/>
        </w:rPr>
        <w:t>2、不选课直接去听课学校不承认该课程成绩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spacing w:val="0"/>
          <w:vertAlign w:val="baseline"/>
          <w:i w:val="0"/>
          <w:b w:val="1"/>
          <w:imprint w:val="0"/>
          <w:emboss w:val="0"/>
          <w:outline w:val="0"/>
          <w:shadow w:val="0"/>
          <w:color w:val="auto"/>
          <w:position w:val="0"/>
          <w:sz w:val="28"/>
          <w:szCs w:val="28"/>
          <w:u w:val="none"/>
          <w:smallCaps w:val="0"/>
          <w:rFonts w:ascii="宋体" w:eastAsia="宋体" w:hAnsi="宋体" w:hint="default"/>
        </w:rPr>
        <w:t>3、选课后不听课、不参加考核会产生一条不及格课程的记录，这会影</w:t>
      </w:r>
      <w:r>
        <w:rPr>
          <w:spacing w:val="0"/>
          <w:vertAlign w:val="baseline"/>
          <w:i w:val="0"/>
          <w:b w:val="1"/>
          <w:imprint w:val="0"/>
          <w:emboss w:val="0"/>
          <w:outline w:val="0"/>
          <w:shadow w:val="0"/>
          <w:color w:val="auto"/>
          <w:position w:val="0"/>
          <w:sz w:val="28"/>
          <w:szCs w:val="28"/>
          <w:u w:val="none"/>
          <w:smallCaps w:val="0"/>
          <w:rFonts w:ascii="宋体" w:eastAsia="宋体" w:hAnsi="宋体" w:hint="default"/>
        </w:rPr>
        <w:t>响到课程成绩排名，对奖学金评定、研究生评优评先等均有影响。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4、课程一旦选定，即，退补选结束后，原则上不再受理退课与选课，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选课记录无法修改，必须参加课程的学习、考试，不参加课程学习、考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试的成绩记零分。每学期应根据个人具体情况慎重选课，不要选课过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多，以免考试成绩不理想。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56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对于未进行网上选课的研究生，任课教师无权同意其参加考试、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取得成绩，研究生院也不承认其学分与成绩。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5、专业课的上课时间、地点如有变动，研究生院会随时更新课程信息；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如遇未能及时更新的情况，请以开课学院公布的为准。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6、选择本学期课程时，请注意选课限制说明。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7、选课系统中显示本学期课程中的节次为大节，除第七节为一个学时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外，其它均为两个学时，其对应上课时间如下：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56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 xml:space="preserve">第一节： 8：00—9：50；  第二节：10：10—12：00；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56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 xml:space="preserve">第三节：12：10—14：00； 第四节：14：10—16：00；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56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第五节：16：20—18：10；第六节：19：00—20：50；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56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第七节：21：00—21：50。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8、教学楼简称：思源楼——SY；思源东楼——SD；思源西楼——SX；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逸夫楼——YF；东校区一教——DQ；东校区二教——DQ2。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 xml:space="preserve">9、 《研究生综合教务系统》登录密码丢失，请凭有效证件到所在学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院研究生秘书处查询。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10、选课过程中遇到问题，请咨询所在学院研究生科的负责老师，也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可以发邮件到研究生院办公邮箱进行咨询，全日制研究生的选课问题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请联系培养办公室办公邮箱：yjsypyb@m.bjtu.edu.cn，非全日制研究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生的选课问题请联系专业学位办公室办公邮箱：</w:t>
      </w:r>
      <w:hyperlink r:id="rId6">
        <w:r>
          <w:rPr>
            <w:rStyle w:val="PO152"/>
            <w:color w:val="0000FF" w:themeColor="hyperlink"/>
            <w:position w:val="0"/>
            <w:sz w:val="28"/>
            <w:szCs w:val="28"/>
            <w:u w:val="single"/>
            <w:rFonts w:ascii="宋体" w:eastAsia="宋体" w:hAnsi="宋体" w:hint="default"/>
          </w:rPr>
          <w:t>yjsyzyxwb@bjtu.edu.cn</w:t>
        </w:r>
      </w:hyperlink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，我们会尽快予以回复，解答。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right"/>
        <w:spacing w:lineRule="auto" w:line="240" w:before="0" w:after="0"/>
        <w:ind w:right="0" w:firstLine="560"/>
        <w:rPr>
          <w:color w:val="auto"/>
          <w:position w:val="0"/>
          <w:sz w:val="28"/>
          <w:szCs w:val="28"/>
          <w:rFonts w:ascii="宋体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 xml:space="preserve">研究生院    </w:t>
      </w:r>
    </w:p>
    <w:p>
      <w:pPr>
        <w:numPr>
          <w:ilvl w:val="0"/>
          <w:numId w:val="0"/>
        </w:numPr>
        <w:jc w:val="right"/>
        <w:spacing w:lineRule="auto" w:line="240" w:before="0" w:after="0"/>
        <w:ind w:right="0" w:firstLine="56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2018年8月15日</w:t>
      </w: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&quot;Times New Roman&quot;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2F000000"/>
    <w:tmpl w:val="1F000014"/>
    <w:lvl w:ilvl="0">
      <w:lvlJc w:val="left"/>
      <w:numFmt w:val="decimal"/>
      <w:start w:val="1"/>
      <w:suff w:val="tab"/>
      <w:pPr>
        <w:ind w:left="990" w:hanging="420"/>
        <w:jc w:val="both"/>
      </w:pPr>
      <w:rPr>
        <w:shd w:val="clear"/>
        <w:sz w:val="20"/>
        <w:szCs w:val="20"/>
        <w:w w:val="100"/>
      </w:rPr>
      <w:lvlText w:val="%1)"/>
    </w:lvl>
    <w:lvl w:ilvl="1">
      <w:lvlJc w:val="left"/>
      <w:numFmt w:val="bullet"/>
      <w:start w:val="1"/>
      <w:suff w:val="tab"/>
      <w:pPr>
        <w:ind w:left="1410" w:hanging="42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2">
      <w:lvlJc w:val="left"/>
      <w:numFmt w:val="bullet"/>
      <w:start w:val="1"/>
      <w:suff w:val="tab"/>
      <w:pPr>
        <w:ind w:left="1830" w:hanging="42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3">
      <w:lvlJc w:val="left"/>
      <w:numFmt w:val="bullet"/>
      <w:start w:val="1"/>
      <w:suff w:val="tab"/>
      <w:pPr>
        <w:ind w:left="2250" w:hanging="42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4">
      <w:lvlJc w:val="left"/>
      <w:numFmt w:val="bullet"/>
      <w:start w:val="1"/>
      <w:suff w:val="tab"/>
      <w:pPr>
        <w:ind w:left="2670" w:hanging="42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5">
      <w:lvlJc w:val="left"/>
      <w:numFmt w:val="bullet"/>
      <w:start w:val="1"/>
      <w:suff w:val="tab"/>
      <w:pPr>
        <w:ind w:left="3090" w:hanging="42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6">
      <w:lvlJc w:val="left"/>
      <w:numFmt w:val="bullet"/>
      <w:start w:val="1"/>
      <w:suff w:val="tab"/>
      <w:pPr>
        <w:ind w:left="3510" w:hanging="42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7">
      <w:lvlJc w:val="left"/>
      <w:numFmt w:val="bullet"/>
      <w:start w:val="1"/>
      <w:suff w:val="tab"/>
      <w:pPr>
        <w:ind w:left="3930" w:hanging="42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8">
      <w:lvlJc w:val="left"/>
      <w:numFmt w:val="bullet"/>
      <w:start w:val="1"/>
      <w:suff w:val="tab"/>
      <w:pPr>
        <w:ind w:left="4350" w:hanging="42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</w:abstractNum>
  <w:abstractNum w:abstractNumId="1">
    <w:multiLevelType w:val="hybridMultilevel"/>
    <w:nsid w:val="2F000001"/>
    <w:tmpl w:val="1F002411"/>
    <w:lvl w:ilvl="0">
      <w:lvlJc w:val="right"/>
      <w:numFmt w:val="bullet"/>
      <w:start w:val="1"/>
      <w:suff w:val="tab"/>
      <w:pPr>
        <w:ind w:left="990" w:hanging="42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1">
      <w:lvlJc w:val="left"/>
      <w:numFmt w:val="bullet"/>
      <w:start w:val="1"/>
      <w:suff w:val="tab"/>
      <w:pPr>
        <w:ind w:left="1410" w:hanging="42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2">
      <w:lvlJc w:val="left"/>
      <w:numFmt w:val="bullet"/>
      <w:start w:val="1"/>
      <w:suff w:val="tab"/>
      <w:pPr>
        <w:ind w:left="1830" w:hanging="42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3">
      <w:lvlJc w:val="left"/>
      <w:numFmt w:val="bullet"/>
      <w:start w:val="1"/>
      <w:suff w:val="tab"/>
      <w:pPr>
        <w:ind w:left="2250" w:hanging="42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4">
      <w:lvlJc w:val="left"/>
      <w:numFmt w:val="bullet"/>
      <w:start w:val="1"/>
      <w:suff w:val="tab"/>
      <w:pPr>
        <w:ind w:left="2670" w:hanging="42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5">
      <w:lvlJc w:val="left"/>
      <w:numFmt w:val="bullet"/>
      <w:start w:val="1"/>
      <w:suff w:val="tab"/>
      <w:pPr>
        <w:ind w:left="3090" w:hanging="42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6">
      <w:lvlJc w:val="left"/>
      <w:numFmt w:val="bullet"/>
      <w:start w:val="1"/>
      <w:suff w:val="tab"/>
      <w:pPr>
        <w:ind w:left="3510" w:hanging="42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7">
      <w:lvlJc w:val="left"/>
      <w:numFmt w:val="bullet"/>
      <w:start w:val="1"/>
      <w:suff w:val="tab"/>
      <w:pPr>
        <w:ind w:left="3930" w:hanging="42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8">
      <w:lvlJc w:val="left"/>
      <w:numFmt w:val="bullet"/>
      <w:start w:val="1"/>
      <w:suff w:val="tab"/>
      <w:pPr>
        <w:ind w:left="4350" w:hanging="42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</w:abstractNum>
  <w:abstractNum w:abstractNumId="2">
    <w:multiLevelType w:val="hybridMultilevel"/>
    <w:nsid w:val="2F000002"/>
    <w:tmpl w:val="1F000C5F"/>
    <w:lvl w:ilvl="0">
      <w:lvlJc w:val="left"/>
      <w:numFmt w:val="bullet"/>
      <w:start w:val="1"/>
      <w:suff w:val="tab"/>
      <w:pPr>
        <w:ind w:left="990" w:hanging="42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1">
      <w:lvlJc w:val="left"/>
      <w:numFmt w:val="bullet"/>
      <w:start w:val="1"/>
      <w:suff w:val="tab"/>
      <w:pPr>
        <w:ind w:left="1410" w:hanging="42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2">
      <w:lvlJc w:val="left"/>
      <w:numFmt w:val="bullet"/>
      <w:start w:val="1"/>
      <w:suff w:val="tab"/>
      <w:pPr>
        <w:ind w:left="1830" w:hanging="42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3">
      <w:lvlJc w:val="left"/>
      <w:numFmt w:val="bullet"/>
      <w:start w:val="1"/>
      <w:suff w:val="tab"/>
      <w:pPr>
        <w:ind w:left="2250" w:hanging="42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4">
      <w:lvlJc w:val="left"/>
      <w:numFmt w:val="bullet"/>
      <w:start w:val="1"/>
      <w:suff w:val="tab"/>
      <w:pPr>
        <w:ind w:left="2670" w:hanging="42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5">
      <w:lvlJc w:val="left"/>
      <w:numFmt w:val="bullet"/>
      <w:start w:val="1"/>
      <w:suff w:val="tab"/>
      <w:pPr>
        <w:ind w:left="3090" w:hanging="42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6">
      <w:lvlJc w:val="left"/>
      <w:numFmt w:val="bullet"/>
      <w:start w:val="1"/>
      <w:suff w:val="tab"/>
      <w:pPr>
        <w:ind w:left="3510" w:hanging="42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7">
      <w:lvlJc w:val="left"/>
      <w:numFmt w:val="bullet"/>
      <w:start w:val="1"/>
      <w:suff w:val="tab"/>
      <w:pPr>
        <w:ind w:left="3930" w:hanging="42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8">
      <w:lvlJc w:val="left"/>
      <w:numFmt w:val="bullet"/>
      <w:start w:val="1"/>
      <w:suff w:val="tab"/>
      <w:pPr>
        <w:ind w:left="4350" w:hanging="42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</w:abstractNum>
  <w:abstractNum w:abstractNumId="3">
    <w:multiLevelType w:val="hybridMultilevel"/>
    <w:nsid w:val="2F000003"/>
    <w:tmpl w:val="1F0033C2"/>
    <w:lvl w:ilvl="0">
      <w:lvlJc w:val="left"/>
      <w:numFmt w:val="decimal"/>
      <w:start w:val="1"/>
      <w:suff w:val="tab"/>
      <w:pPr>
        <w:ind w:left="990" w:hanging="420"/>
        <w:jc w:val="both"/>
      </w:pPr>
      <w:rPr>
        <w:shd w:val="clear"/>
        <w:sz w:val="20"/>
        <w:szCs w:val="20"/>
        <w:w w:val="100"/>
      </w:rPr>
      <w:lvlText w:val="%1)"/>
    </w:lvl>
    <w:lvl w:ilvl="1">
      <w:lvlJc w:val="left"/>
      <w:numFmt w:val="bullet"/>
      <w:start w:val="1"/>
      <w:suff w:val="tab"/>
      <w:pPr>
        <w:ind w:left="1410" w:hanging="42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2">
      <w:lvlJc w:val="left"/>
      <w:numFmt w:val="bullet"/>
      <w:start w:val="1"/>
      <w:suff w:val="tab"/>
      <w:pPr>
        <w:ind w:left="1830" w:hanging="42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3">
      <w:lvlJc w:val="left"/>
      <w:numFmt w:val="bullet"/>
      <w:start w:val="1"/>
      <w:suff w:val="tab"/>
      <w:pPr>
        <w:ind w:left="2250" w:hanging="42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4">
      <w:lvlJc w:val="left"/>
      <w:numFmt w:val="bullet"/>
      <w:start w:val="1"/>
      <w:suff w:val="tab"/>
      <w:pPr>
        <w:ind w:left="2670" w:hanging="42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5">
      <w:lvlJc w:val="left"/>
      <w:numFmt w:val="bullet"/>
      <w:start w:val="1"/>
      <w:suff w:val="tab"/>
      <w:pPr>
        <w:ind w:left="3090" w:hanging="42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6">
      <w:lvlJc w:val="left"/>
      <w:numFmt w:val="bullet"/>
      <w:start w:val="1"/>
      <w:suff w:val="tab"/>
      <w:pPr>
        <w:ind w:left="3510" w:hanging="42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7">
      <w:lvlJc w:val="left"/>
      <w:numFmt w:val="bullet"/>
      <w:start w:val="1"/>
      <w:suff w:val="tab"/>
      <w:pPr>
        <w:ind w:left="3930" w:hanging="42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8">
      <w:lvlJc w:val="left"/>
      <w:numFmt w:val="bullet"/>
      <w:start w:val="1"/>
      <w:suff w:val="tab"/>
      <w:pPr>
        <w:ind w:left="4350" w:hanging="42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</w:abstractNum>
  <w:abstractNum w:abstractNumId="4">
    <w:multiLevelType w:val="hybridMultilevel"/>
    <w:nsid w:val="2F000004"/>
    <w:tmpl w:val="1F002570"/>
    <w:lvl w:ilvl="0">
      <w:lvlJc w:val="left"/>
      <w:numFmt w:val="decimal"/>
      <w:start w:val="1"/>
      <w:suff w:val="tab"/>
      <w:pPr>
        <w:ind w:left="990" w:hanging="420"/>
        <w:jc w:val="both"/>
      </w:pPr>
      <w:lvlText w:val="%1)"/>
    </w:lvl>
    <w:lvl w:ilvl="1">
      <w:lvlJc w:val="left"/>
      <w:numFmt w:val="lowerLetter"/>
      <w:start w:val="1"/>
      <w:suff w:val="tab"/>
      <w:pPr>
        <w:ind w:left="141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83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25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67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309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51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93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350" w:hanging="420"/>
        <w:jc w:val="both"/>
      </w:pPr>
      <w:lvlText w:val="%9."/>
    </w:lvl>
  </w:abstractNum>
  <w:abstractNum w:abstractNumId="5">
    <w:multiLevelType w:val="hybridMultilevel"/>
    <w:nsid w:val="2F000005"/>
    <w:tmpl w:val="1F001EB6"/>
    <w:lvl w:ilvl="0">
      <w:lvlJc w:val="left"/>
      <w:numFmt w:val="decimal"/>
      <w:start w:val="1"/>
      <w:suff w:val="tab"/>
      <w:pPr>
        <w:ind w:left="990" w:hanging="420"/>
        <w:jc w:val="both"/>
      </w:pPr>
      <w:rPr>
        <w:shd w:val="clear"/>
        <w:sz w:val="20"/>
        <w:szCs w:val="20"/>
        <w:w w:val="100"/>
      </w:rPr>
      <w:lvlText w:val="%1."/>
    </w:lvl>
    <w:lvl w:ilvl="1">
      <w:lvlJc w:val="left"/>
      <w:numFmt w:val="bullet"/>
      <w:start w:val="1"/>
      <w:suff w:val="tab"/>
      <w:pPr>
        <w:ind w:left="1410" w:hanging="42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2">
      <w:lvlJc w:val="left"/>
      <w:numFmt w:val="bullet"/>
      <w:start w:val="1"/>
      <w:suff w:val="tab"/>
      <w:pPr>
        <w:ind w:left="1830" w:hanging="42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3">
      <w:lvlJc w:val="left"/>
      <w:numFmt w:val="bullet"/>
      <w:start w:val="1"/>
      <w:suff w:val="tab"/>
      <w:pPr>
        <w:ind w:left="2250" w:hanging="42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4">
      <w:lvlJc w:val="left"/>
      <w:numFmt w:val="bullet"/>
      <w:start w:val="1"/>
      <w:suff w:val="tab"/>
      <w:pPr>
        <w:ind w:left="2670" w:hanging="42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5">
      <w:lvlJc w:val="left"/>
      <w:numFmt w:val="bullet"/>
      <w:start w:val="1"/>
      <w:suff w:val="tab"/>
      <w:pPr>
        <w:ind w:left="3090" w:hanging="42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6">
      <w:lvlJc w:val="left"/>
      <w:numFmt w:val="bullet"/>
      <w:start w:val="1"/>
      <w:suff w:val="tab"/>
      <w:pPr>
        <w:ind w:left="3510" w:hanging="42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7">
      <w:lvlJc w:val="left"/>
      <w:numFmt w:val="bullet"/>
      <w:start w:val="1"/>
      <w:suff w:val="tab"/>
      <w:pPr>
        <w:ind w:left="3930" w:hanging="42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8">
      <w:lvlJc w:val="left"/>
      <w:numFmt w:val="bullet"/>
      <w:start w:val="1"/>
      <w:suff w:val="tab"/>
      <w:pPr>
        <w:ind w:left="4350" w:hanging="42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</w:abstractNum>
  <w:abstractNum w:abstractNumId="6">
    <w:multiLevelType w:val="hybridMultilevel"/>
    <w:nsid w:val="2F000006"/>
    <w:tmpl w:val="1F00166B"/>
    <w:lvl w:ilvl="0">
      <w:lvlJc w:val="left"/>
      <w:numFmt w:val="decimal"/>
      <w:start w:val="1"/>
      <w:suff w:val="tab"/>
      <w:pPr>
        <w:ind w:left="990" w:hanging="420"/>
        <w:jc w:val="both"/>
      </w:pPr>
      <w:lvlText w:val="%1."/>
    </w:lvl>
    <w:lvl w:ilvl="1">
      <w:lvlJc w:val="left"/>
      <w:numFmt w:val="lowerLetter"/>
      <w:start w:val="1"/>
      <w:suff w:val="tab"/>
      <w:pPr>
        <w:ind w:left="141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83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25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67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309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51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93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350" w:hanging="420"/>
        <w:jc w:val="both"/>
      </w:pPr>
      <w:lvlText w:val="%9.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ordWrap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basedOn w:val="PO1"/>
    <w:qFormat/>
    <w:uiPriority w:val="26"/>
    <w:pPr>
      <w:autoSpaceDE w:val="1"/>
      <w:autoSpaceDN w:val="1"/>
      <w:ind w:firstLine="420"/>
      <w:widowControl/>
      <w:wordWrap/>
    </w:p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character">
    <w:name w:val="Hyperlink"/>
    <w:basedOn w:val="PO2"/>
    <w:uiPriority w:val="152"/>
    <w:unhideWhenUsed/>
    <w:rPr>
      <w:color w:val="0000FF" w:themeColor="hyperlink"/>
      <w:shd w:val="clear"/>
      <w:sz w:val="20"/>
      <w:szCs w:val="20"/>
      <w:u w:val="single"/>
      <w:w w:val="100"/>
    </w:rPr>
  </w:style>
  <w:style w:styleId="PO153" w:type="paragraph">
    <w:name w:val="header"/>
    <w:basedOn w:val="PO1"/>
    <w:link w:val="PO154"/>
    <w:uiPriority w:val="153"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4" w:type="character">
    <w:name w:val="页眉 Char"/>
    <w:basedOn w:val="PO2"/>
    <w:link w:val="PO153"/>
    <w:uiPriority w:val="154"/>
    <w:rPr>
      <w:shd w:val="clear"/>
      <w:sz w:val="18"/>
      <w:szCs w:val="18"/>
      <w:w w:val="100"/>
    </w:rPr>
  </w:style>
  <w:style w:styleId="PO155" w:type="paragraph">
    <w:name w:val="footer"/>
    <w:basedOn w:val="PO1"/>
    <w:link w:val="PO156"/>
    <w:uiPriority w:val="155"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6" w:type="character">
    <w:name w:val="页脚 Char"/>
    <w:basedOn w:val="PO2"/>
    <w:link w:val="PO155"/>
    <w:uiPriority w:val="156"/>
    <w:rPr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yperlink" Target="http://gs.bjtu.edu.cn" TargetMode="External"></Relationship><Relationship Id="rId6" Type="http://schemas.openxmlformats.org/officeDocument/2006/relationships/hyperlink" Target="mailto:yjsyzyxwb@bjtu.edu.cn" TargetMode="External"></Relationship><Relationship Id="rId7" Type="http://schemas.openxmlformats.org/officeDocument/2006/relationships/numbering" Target="numbering.xml"></Relationship><Relationship Id="rId8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3980</Characters>
  <CharactersWithSpaces>0</CharactersWithSpaces>
  <Company>Lenovo</Company>
  <DocSecurity>0</DocSecurity>
  <HyperlinksChanged>false</HyperlinksChanged>
  <Lines>28</Lines>
  <LinksUpToDate>false</LinksUpToDate>
  <Pages>6</Pages>
  <Paragraphs>7</Paragraphs>
  <Words>595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zpj</dc:creator>
  <cp:lastModifiedBy/>
  <dcterms:modified xsi:type="dcterms:W3CDTF">2017-08-15T04:49:00Z</dcterms:modified>
</cp:coreProperties>
</file>